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Car Policy</w:t>
      </w:r>
    </w:p>
    <w:p>
      <w:pPr>
        <w:spacing w:after="480"/>
        <w:jc w:val="center"/>
      </w:pPr>
      <w:r>
        <w:rPr>
          <w:i/>
          <w:iCs/>
          <w:color w:val="666666"/>
          <w:sz w:val="24"/>
          <w:szCs w:val="24"/>
        </w:rPr>
        <w:t xml:space="preserve">Overeenkomst inzake terugbetaling thuis opgeladen elektriciteit</w:t>
      </w:r>
    </w:p>
    <w:p>
      <w:pPr>
        <w:pStyle w:val="Heading1"/>
      </w:pPr>
      <w:r>
        <w:t xml:space="preserve">Tussen partijen</w:t>
      </w:r>
    </w:p>
    <w:p>
      <w:pPr>
        <w:spacing w:after="120"/>
      </w:pPr>
      <w:r>
        <w:rPr>
          <w:b/>
          <w:bCs/>
        </w:rPr>
        <w:t xml:space="preserve">Werkgever/Vennootschap: </w:t>
      </w:r>
      <w:r>
        <w:t xml:space="preserve">[Naam vennootschap], gevestigd te [adres]</w:t>
      </w:r>
    </w:p>
    <w:p>
      <w:pPr>
        <w:spacing w:after="120"/>
      </w:pPr>
      <w:r>
        <w:t xml:space="preserve">............................................................................................................................................................</w:t>
      </w:r>
    </w:p>
    <w:p>
      <w:pPr>
        <w:spacing w:after="120"/>
      </w:pPr>
      <w:r>
        <w:rPr>
          <w:b/>
          <w:bCs/>
        </w:rPr>
        <w:t xml:space="preserve">Bedrijfsleider: </w:t>
      </w:r>
      <w:r>
        <w:t xml:space="preserve">[Naam bedrijfsleider], wonende te [adres]</w:t>
      </w:r>
    </w:p>
    <w:p>
      <w:pPr>
        <w:spacing w:after="240"/>
      </w:pPr>
      <w:r>
        <w:t xml:space="preserve">............................................................................................................................................................</w:t>
      </w:r>
    </w:p>
    <w:p>
      <w:pPr>
        <w:pStyle w:val="Heading1"/>
      </w:pPr>
      <w:r>
        <w:t xml:space="preserve">1. Doel</w:t>
      </w:r>
    </w:p>
    <w:p>
      <w:pPr>
        <w:spacing w:after="240"/>
      </w:pPr>
      <w:r>
        <w:t xml:space="preserve">Deze overeenkomst regelt de terugbetaling van de elektriciteitskosten voor het thuis opladen van een bedrijfswagen, conform de bepalingen van </w:t>
      </w:r>
      <w:r>
        <w:rPr>
          <w:b/>
          <w:bCs/>
        </w:rPr>
        <w:t xml:space="preserve">Circulaire 2024/C/77</w:t>
      </w:r>
      <w:r>
        <w:t xml:space="preserve"> van 05.12.2024 en </w:t>
      </w:r>
      <w:r>
        <w:rPr>
          <w:b/>
          <w:bCs/>
        </w:rPr>
        <w:t xml:space="preserve">Circulaire 2025/C/38</w:t>
      </w:r>
      <w:r>
        <w:t xml:space="preserve"> van 17.06.2025 (permanente toepassing).</w:t>
      </w:r>
    </w:p>
    <w:p>
      <w:pPr>
        <w:pStyle w:val="Heading1"/>
      </w:pPr>
      <w:r>
        <w:t xml:space="preserve">2. Voorwaarden voor terugbetaling</w:t>
      </w:r>
    </w:p>
    <w:p>
      <w:pPr>
        <w:pStyle w:val="Heading2"/>
      </w:pPr>
      <w:r>
        <w:t xml:space="preserve">2.1 Beschikbare middelen</w:t>
      </w:r>
    </w:p>
    <w:p>
      <w:pPr>
        <w:spacing w:after="200"/>
      </w:pPr>
      <w:r>
        <w:t xml:space="preserve">De vennootschap stelt een elektrische of plug-in hybride bedrijfswagen ter beschikking. Het exacte elektriciteitsverbruik voor het opladen van de bedrijfswagen moet meetbaar zijn via een van de volgende methodes:</w:t>
      </w:r>
    </w:p>
    <w:p>
      <w:pPr>
        <w:spacing w:after="80"/>
        <w:ind w:left="360"/>
      </w:pPr>
      <w:r>
        <w:t xml:space="preserve">• Thuislaadpaal met communicatiesysteem</w:t>
      </w:r>
    </w:p>
    <w:p>
      <w:pPr>
        <w:spacing w:after="80"/>
        <w:ind w:left="360"/>
      </w:pPr>
      <w:r>
        <w:t xml:space="preserve">• Tussenteller (dedicated meter)</w:t>
      </w:r>
    </w:p>
    <w:p>
      <w:pPr>
        <w:spacing w:after="200"/>
        <w:ind w:left="360"/>
      </w:pPr>
      <w:r>
        <w:t xml:space="preserve">• Verbruiksrapport uit de boordcomputer van de wagen</w:t>
      </w:r>
    </w:p>
    <w:p>
      <w:pPr>
        <w:pStyle w:val="Heading2"/>
      </w:pPr>
      <w:r>
        <w:t xml:space="preserve">2.2 Rapportageverplichting</w:t>
      </w:r>
    </w:p>
    <w:p>
      <w:pPr>
        <w:spacing w:after="200"/>
      </w:pPr>
      <w:r>
        <w:t xml:space="preserve">De bedrijfsleider levert maandelijks of per kwartaal een overzicht aan van het elektriciteitsverbruik voor de bedrijfswagen, met vermelding van:</w:t>
      </w:r>
    </w:p>
    <w:p>
      <w:pPr>
        <w:spacing w:after="80"/>
        <w:ind w:left="360"/>
      </w:pPr>
      <w:r>
        <w:t xml:space="preserve">• Het totale verbruik in kWh</w:t>
      </w:r>
    </w:p>
    <w:p>
      <w:pPr>
        <w:spacing w:after="80"/>
        <w:ind w:left="360"/>
      </w:pPr>
      <w:r>
        <w:t xml:space="preserve">• De periode waarop het verbruik betrekking heeft</w:t>
      </w:r>
    </w:p>
    <w:p>
      <w:pPr>
        <w:spacing w:after="200"/>
        <w:ind w:left="360"/>
      </w:pPr>
      <w:r>
        <w:t xml:space="preserve">• Bevestiging dat het verbruik uitsluitend betrekking heeft op de bedrijfswagen</w:t>
      </w:r>
    </w:p>
    <w:p>
      <w:pPr>
        <w:pStyle w:val="Heading2"/>
      </w:pPr>
      <w:r>
        <w:t xml:space="preserve">2.3 Tarieven</w:t>
      </w:r>
    </w:p>
    <w:p>
      <w:pPr>
        <w:spacing w:after="200"/>
      </w:pPr>
      <w:r>
        <w:t xml:space="preserve">De terugbetaling gebeurt volgens de kwartaalforfaits gepubliceerd door de FOD Financiën op basis van het CREG-tarief. De vennootschap kan kiezen voor het tarief van het gewest waar de bedrijfsleider woont, of een uniform tarief (het laagste van de drie gewesten) voor het volledige kalenderjaar.</w:t>
      </w:r>
    </w:p>
    <w:p>
      <w:pPr>
        <w:spacing w:after="120"/>
      </w:pPr>
      <w:r>
        <w:rPr>
          <w:b/>
          <w:bCs/>
        </w:rPr>
        <w:t xml:space="preserve">Actuele tarieven zijn te raadplegen via onderstaande QR-code of op creg.be:</w:t>
      </w:r>
    </w:p>
    <w:p>
      <w:pPr>
        <w:spacing w:before="200" w:after="120"/>
        <w:jc w:val="center"/>
      </w:pPr>
      <w:r>
        <w:drawing>
          <wp:inline distT="0" distB="0" distL="0" distR="0">
            <wp:extent cx="1143000" cy="1143000"/>
            <wp:effectExtent t="0" r="0" b="0" l="0"/>
            <wp:docPr id="1" name="QR CREG" descr="Link naar actuele CREG-tarieven" title="QR Code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1143000" cy="1143000"/>
                    </a:xfrm>
                    <a:prstGeom prst="rect">
                      <a:avLst/>
                    </a:prstGeom>
                  </pic:spPr>
                </pic:pic>
              </a:graphicData>
            </a:graphic>
          </wp:inline>
        </w:drawing>
      </w:r>
    </w:p>
    <w:p>
      <w:pPr>
        <w:spacing w:after="240"/>
        <w:jc w:val="center"/>
      </w:pPr>
      <w:r>
        <w:rPr>
          <w:i/>
          <w:iCs/>
          <w:color w:val="666666"/>
          <w:sz w:val="16"/>
          <w:szCs w:val="16"/>
        </w:rPr>
        <w:t xml:space="preserve">creg.be/nl/consumenten/prijzen-en-tarieven/creg-tarief-voor-terugbetaling-thuisladen-bedrijfswagens</w:t>
      </w:r>
    </w:p>
    <w:p>
      <w:pPr>
        <w:pStyle w:val="Heading2"/>
      </w:pPr>
      <w:r>
        <w:t xml:space="preserve">2.4 Permanente regeling</w:t>
      </w:r>
    </w:p>
    <w:p>
      <w:pPr>
        <w:spacing w:after="200"/>
      </w:pPr>
      <w:r>
        <w:t xml:space="preserve">Deze regeling is </w:t>
      </w:r>
      <w:r>
        <w:rPr>
          <w:b/>
          <w:bCs/>
        </w:rPr>
        <w:t xml:space="preserve">permanent van toepassing</w:t>
      </w:r>
      <w:r>
        <w:t xml:space="preserve"> sinds Circulaire 2025/C/38 van 17 juni 2025. De FOD Financiën publiceert elk kwartaal de actuele maximumtarieven via een addendum.</w:t>
      </w:r>
    </w:p>
    <w:p>
      <w:pPr>
        <w:pStyle w:val="Heading2"/>
      </w:pPr>
      <w:r>
        <w:t xml:space="preserve">2.5 Fiscale conformiteit</w:t>
      </w:r>
    </w:p>
    <w:p>
      <w:pPr>
        <w:spacing w:after="240"/>
      </w:pPr>
      <w:r>
        <w:t xml:space="preserve">De terugbetaling wordt aangemerkt als belastingvrij binnen de vastgestelde grenzen, mits de voorwaarden van de circulaires worden nageleefd. Het voordeel alle aard (VAA) voor de bedrijfswagen blijft van toepassing, zonder bijkomend VAA voor de laadkosten.</w:t>
      </w:r>
    </w:p>
    <w:p>
      <w:pPr>
        <w:pStyle w:val="Heading1"/>
      </w:pPr>
      <w:r>
        <w:t xml:space="preserve">3. Verplichtingen van de bedrijfsleider</w:t>
      </w:r>
    </w:p>
    <w:p>
      <w:pPr>
        <w:spacing w:after="80"/>
        <w:ind w:left="360"/>
      </w:pPr>
      <w:r>
        <w:t xml:space="preserve">• Zorgen voor correcte registratie van het elektriciteitsverbruik</w:t>
      </w:r>
    </w:p>
    <w:p>
      <w:pPr>
        <w:spacing w:after="80"/>
        <w:ind w:left="360"/>
      </w:pPr>
      <w:r>
        <w:t xml:space="preserve">• Gebruik van de laadinfrastructuur uitsluitend voor het opladen van de bedrijfswagen</w:t>
      </w:r>
    </w:p>
    <w:p>
      <w:pPr>
        <w:spacing w:after="80"/>
        <w:ind w:left="360"/>
      </w:pPr>
      <w:r>
        <w:t xml:space="preserve">• Tijdige aanlevering van het verbruiksoverzicht</w:t>
      </w:r>
    </w:p>
    <w:p>
      <w:pPr>
        <w:spacing w:after="240"/>
        <w:ind w:left="360"/>
      </w:pPr>
      <w:r>
        <w:t xml:space="preserve">• Onverwijld melden van eventuele defecten aan de meetapparatuur</w:t>
      </w:r>
    </w:p>
    <w:p>
      <w:pPr>
        <w:pStyle w:val="Heading1"/>
      </w:pPr>
      <w:r>
        <w:t xml:space="preserve">4. Slotbepalingen</w:t>
      </w:r>
    </w:p>
    <w:p>
      <w:pPr>
        <w:spacing w:after="400"/>
      </w:pPr>
      <w:r>
        <w:t xml:space="preserve">Wijzigingen in de fiscale regelgeving of tarieven worden automatisch in deze overeenkomst opgenomen. Bij publicatie van nieuwe addenda gelden de daarin vermelde tarieven vanaf de aangegeven ingangsdatum.</w:t>
      </w:r>
    </w:p>
    <w:p>
      <w:pPr>
        <w:spacing w:before="240" w:after="360"/>
      </w:pPr>
      <w:r>
        <w:rPr>
          <w:b/>
          <w:bCs/>
        </w:rPr>
        <w:t xml:space="preserve">Ondertekend op [datum] te [plaats]: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none"/>
              <w:left w:val="none"/>
              <w:bottom w:val="none"/>
              <w:right w:val="none"/>
            </w:tcBorders>
          </w:tcPr>
          <w:p>
            <w:pPr>
              <w:spacing w:after="80"/>
            </w:pPr>
            <w:r>
              <w:rPr>
                <w:b/>
                <w:bCs/>
              </w:rPr>
              <w:t xml:space="preserve">Vennootschap:</w:t>
            </w:r>
          </w:p>
          <w:p>
            <w:pPr>
              <w:spacing w:after="80"/>
            </w:pPr>
            <w:r>
              <w:t xml:space="preserve">Naam: _________________________</w:t>
            </w:r>
          </w:p>
          <w:p>
            <w:pPr>
              <w:spacing w:after="80"/>
            </w:pPr>
            <w:r>
              <w:t xml:space="preserve">Functie: _________________________</w:t>
            </w:r>
          </w:p>
          <w:p>
            <w:r>
              <w:t xml:space="preserve">Handtekening: _________________________</w:t>
            </w:r>
          </w:p>
        </w:tc>
        <w:tc>
          <w:tcPr>
            <w:tcBorders>
              <w:top w:val="none"/>
              <w:left w:val="none"/>
              <w:bottom w:val="none"/>
              <w:right w:val="none"/>
            </w:tcBorders>
          </w:tcPr>
          <w:p>
            <w:pPr>
              <w:spacing w:after="80"/>
            </w:pPr>
            <w:r>
              <w:rPr>
                <w:b/>
                <w:bCs/>
              </w:rPr>
              <w:t xml:space="preserve">Bedrijfsleider:</w:t>
            </w:r>
          </w:p>
          <w:p>
            <w:pPr>
              <w:spacing w:after="80"/>
            </w:pPr>
            <w:r>
              <w:t xml:space="preserve">Naam: _________________________</w:t>
            </w:r>
          </w:p>
          <w:p>
            <w:pPr>
              <w:spacing w:after="80"/>
            </w:pPr>
            <w:r>
              <w:t xml:space="preserve"> </w:t>
            </w:r>
          </w:p>
          <w:p>
            <w:r>
              <w:t xml:space="preserve">Handtekening: _________________________</w:t>
            </w:r>
          </w:p>
        </w:tc>
      </w:tr>
    </w:tbl>
    <w:p>
      <w:pPr>
        <w:spacing w:before="600"/>
      </w:pPr>
      <w:r>
        <w:rPr>
          <w:b/>
          <w:bCs/>
          <w:color w:val="666666"/>
          <w:sz w:val="18"/>
          <w:szCs w:val="18"/>
        </w:rPr>
        <w:t xml:space="preserve">Bronnen:</w:t>
      </w:r>
    </w:p>
    <w:p>
      <w:r>
        <w:rPr>
          <w:color w:val="666666"/>
          <w:sz w:val="18"/>
          <w:szCs w:val="18"/>
        </w:rPr>
        <w:t xml:space="preserve">• Circulaire 2024/C/77 van 05.12.2024 – FOD Financiën</w:t>
      </w:r>
    </w:p>
    <w:p>
      <w:r>
        <w:rPr>
          <w:color w:val="666666"/>
          <w:sz w:val="18"/>
          <w:szCs w:val="18"/>
        </w:rPr>
        <w:t xml:space="preserve">• Circulaire 2025/C/38 van 17.06.2025 – permanente toepassing</w:t>
      </w:r>
    </w:p>
    <w:p>
      <w:r>
        <w:rPr>
          <w:color w:val="666666"/>
          <w:sz w:val="18"/>
          <w:szCs w:val="18"/>
        </w:rPr>
        <w:t xml:space="preserve">• CREG-tarieven: creg.be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240"/>
      <w:jc w:val="center"/>
    </w:pPr>
    <w:rPr>
      <w:rFonts w:ascii="Georgia" w:cs="Georgia" w:eastAsia="Georgia" w:hAnsi="Georgia"/>
      <w:b/>
      <w:bCs/>
      <w:color w:val="1a365d"/>
      <w:sz w:val="32"/>
      <w:szCs w:val="32"/>
    </w:rPr>
  </w:style>
  <w:style w:type="paragraph" w:styleId="Heading1">
    <w:name w:val="Heading 1"/>
    <w:basedOn w:val="Normal"/>
    <w:next w:val="Normal"/>
    <w:qFormat/>
    <w:pPr>
      <w:spacing w:before="360" w:after="120"/>
    </w:pPr>
    <w:rPr>
      <w:rFonts w:ascii="Georgia" w:cs="Georgia" w:eastAsia="Georgia" w:hAnsi="Georgia"/>
      <w:b/>
      <w:bCs/>
      <w:color w:val="1a365d"/>
      <w:sz w:val="26"/>
      <w:szCs w:val="26"/>
    </w:rPr>
  </w:style>
  <w:style w:type="paragraph" w:styleId="Heading2">
    <w:name w:val="Heading 2"/>
    <w:basedOn w:val="Normal"/>
    <w:next w:val="Normal"/>
    <w:qFormat/>
    <w:pPr>
      <w:spacing w:before="240" w:after="120"/>
    </w:pPr>
    <w:rPr>
      <w:rFonts w:ascii="Georgia" w:cs="Georgia" w:eastAsia="Georgia" w:hAnsi="Georgia"/>
      <w:b/>
      <w:bCs/>
      <w:color w:val="1a365d"/>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9eb0dd34a087aaa7ccef34c07e4ee0cce2dbced5.png"/><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2025-12-20T07:25:44.267Z</dcterms:created>
  <dcterms:modified xsi:type="dcterms:W3CDTF">2025-12-20T07:25:44.267Z</dcterms:modified>
</cp:coreProperties>
</file>

<file path=docProps/custom.xml><?xml version="1.0" encoding="utf-8"?>
<Properties xmlns="http://schemas.openxmlformats.org/officeDocument/2006/custom-properties" xmlns:vt="http://schemas.openxmlformats.org/officeDocument/2006/docPropsVTypes"/>
</file>